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063"/>
        <w:gridCol w:w="4236"/>
      </w:tblGrid>
      <w:tr w:rsidR="00AD2065" w:rsidTr="00396C07">
        <w:trPr>
          <w:trHeight w:val="915"/>
        </w:trPr>
        <w:tc>
          <w:tcPr>
            <w:tcW w:w="5644" w:type="dxa"/>
            <w:vAlign w:val="center"/>
          </w:tcPr>
          <w:p w:rsidR="00907E0D" w:rsidRDefault="00460688" w:rsidP="007B58E6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</w:t>
            </w:r>
            <w:r w:rsidR="00176D24">
              <w:rPr>
                <w:rFonts w:asciiTheme="majorHAnsi" w:eastAsiaTheme="majorEastAsia" w:hAnsiTheme="majorHAnsi" w:cstheme="majorBidi"/>
                <w:sz w:val="36"/>
                <w:szCs w:val="36"/>
              </w:rPr>
              <w:t>8</w:t>
            </w:r>
            <w:r w:rsidR="00AD2065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176D24">
              <w:rPr>
                <w:rFonts w:asciiTheme="majorHAnsi" w:eastAsiaTheme="majorEastAsia" w:hAnsiTheme="majorHAnsi" w:cstheme="majorBidi"/>
                <w:sz w:val="36"/>
                <w:szCs w:val="36"/>
              </w:rPr>
              <w:t>Ocak</w:t>
            </w:r>
            <w:r w:rsidR="00AD2065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</w:p>
          <w:p w:rsidR="00AD2065" w:rsidRDefault="007B58E6" w:rsidP="007B58E6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SANAYİ ÜRETİM ENDEKSİ</w:t>
            </w:r>
          </w:p>
        </w:tc>
        <w:tc>
          <w:tcPr>
            <w:tcW w:w="4678" w:type="dxa"/>
          </w:tcPr>
          <w:p w:rsidR="00AD2065" w:rsidRDefault="00176D24" w:rsidP="002625C7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16</w:t>
            </w:r>
            <w:r w:rsidR="00BC294E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Mart</w:t>
            </w:r>
            <w:r w:rsidR="002625C7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2018</w:t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</w:t>
            </w:r>
            <w:r w:rsidR="00AD2065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 wp14:anchorId="3763D1F0" wp14:editId="0B79B45D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AD2065" w:rsidRDefault="00AD2065" w:rsidP="00AD2065">
      <w:pPr>
        <w:pStyle w:val="stbilgi"/>
      </w:pPr>
    </w:p>
    <w:p w:rsidR="00AD2065" w:rsidRPr="00EF4E45" w:rsidRDefault="00176D24" w:rsidP="00AD2065">
      <w:pPr>
        <w:rPr>
          <w:b/>
        </w:rPr>
      </w:pPr>
      <w:r>
        <w:rPr>
          <w:b/>
        </w:rPr>
        <w:t>Ocak</w:t>
      </w:r>
      <w:r w:rsidR="007E6746">
        <w:rPr>
          <w:b/>
        </w:rPr>
        <w:t xml:space="preserve"> </w:t>
      </w:r>
      <w:r>
        <w:rPr>
          <w:b/>
        </w:rPr>
        <w:t>2018</w:t>
      </w:r>
      <w:r w:rsidR="00EF4E45" w:rsidRPr="00EF4E45">
        <w:rPr>
          <w:b/>
        </w:rPr>
        <w:t xml:space="preserve"> </w:t>
      </w:r>
      <w:r w:rsidR="007B58E6">
        <w:rPr>
          <w:b/>
        </w:rPr>
        <w:t>Sanayi Üretim Endeksi’ne</w:t>
      </w:r>
      <w:r w:rsidR="00EF4E45" w:rsidRPr="00EF4E45">
        <w:rPr>
          <w:b/>
        </w:rPr>
        <w:t xml:space="preserve"> ilişkin veriler Türkiye İstat</w:t>
      </w:r>
      <w:r w:rsidR="007441EB">
        <w:rPr>
          <w:b/>
        </w:rPr>
        <w:t xml:space="preserve">istik Kurumu (TÜİK) tarafından </w:t>
      </w:r>
      <w:r>
        <w:rPr>
          <w:b/>
        </w:rPr>
        <w:t>16</w:t>
      </w:r>
      <w:r w:rsidR="00C75496">
        <w:rPr>
          <w:b/>
        </w:rPr>
        <w:t xml:space="preserve"> </w:t>
      </w:r>
      <w:r>
        <w:rPr>
          <w:b/>
        </w:rPr>
        <w:t>Mart</w:t>
      </w:r>
      <w:r w:rsidR="00B74AF8">
        <w:rPr>
          <w:b/>
        </w:rPr>
        <w:t xml:space="preserve"> </w:t>
      </w:r>
      <w:r w:rsidR="002625C7">
        <w:rPr>
          <w:b/>
        </w:rPr>
        <w:t>2018</w:t>
      </w:r>
      <w:r w:rsidR="00EF4E45" w:rsidRPr="00EF4E45">
        <w:rPr>
          <w:b/>
        </w:rPr>
        <w:t xml:space="preserve"> tarihinde yayımlandı.</w:t>
      </w:r>
    </w:p>
    <w:p w:rsidR="00DF5145" w:rsidRDefault="00EF4E45" w:rsidP="00EF4E45">
      <w:r>
        <w:t xml:space="preserve">TÜİK tarafından aylık yayımlanan </w:t>
      </w:r>
      <w:r w:rsidR="007B58E6" w:rsidRPr="007B58E6">
        <w:t>Sanayi Üretim Endeksi</w:t>
      </w:r>
      <w:r>
        <w:t>,</w:t>
      </w:r>
      <w:r w:rsidR="007B58E6">
        <w:t xml:space="preserve"> Türkiye’deki sanayi kuruluşlarının toplam üretiminin</w:t>
      </w:r>
      <w:r>
        <w:t xml:space="preserve"> zaman içindeki değişim</w:t>
      </w:r>
      <w:r w:rsidR="007B58E6">
        <w:t>i</w:t>
      </w:r>
      <w:r>
        <w:t xml:space="preserve"> hakkında bilgi vermektedir.</w:t>
      </w:r>
      <w:r w:rsidR="00522A6C" w:rsidRPr="00C04441">
        <w:rPr>
          <w:rStyle w:val="DipnotBavurusu"/>
        </w:rPr>
        <w:footnoteReference w:id="1"/>
      </w:r>
    </w:p>
    <w:p w:rsidR="0043515F" w:rsidRDefault="0043515F" w:rsidP="00FD0F6A">
      <w:pPr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rFonts w:eastAsia="Times New Roman" w:cs="Times New Roman"/>
          <w:b/>
          <w:bCs/>
          <w:kern w:val="36"/>
          <w:sz w:val="24"/>
          <w:szCs w:val="24"/>
        </w:rPr>
        <w:t xml:space="preserve">Şekil 1: </w:t>
      </w:r>
      <w:r w:rsidR="00FD0F6A">
        <w:rPr>
          <w:rFonts w:eastAsia="Times New Roman" w:cs="Times New Roman"/>
          <w:b/>
          <w:bCs/>
          <w:kern w:val="36"/>
          <w:sz w:val="24"/>
          <w:szCs w:val="24"/>
        </w:rPr>
        <w:t xml:space="preserve">Aylara göre </w:t>
      </w:r>
      <w:r w:rsidR="00FD0F6A" w:rsidRPr="006D330B">
        <w:rPr>
          <w:rFonts w:eastAsia="Times New Roman" w:cs="Times New Roman"/>
          <w:b/>
          <w:bCs/>
          <w:kern w:val="36"/>
          <w:sz w:val="24"/>
          <w:szCs w:val="24"/>
        </w:rPr>
        <w:t>sanayi üretim endeksi</w:t>
      </w:r>
      <w:r w:rsidR="00FD0F6A">
        <w:rPr>
          <w:rFonts w:eastAsia="Times New Roman" w:cs="Times New Roman"/>
          <w:b/>
          <w:bCs/>
          <w:kern w:val="36"/>
          <w:sz w:val="24"/>
          <w:szCs w:val="24"/>
        </w:rPr>
        <w:t xml:space="preserve"> </w:t>
      </w:r>
    </w:p>
    <w:p w:rsidR="00E7657B" w:rsidRPr="006D330B" w:rsidRDefault="00FD0F6A" w:rsidP="00E7657B">
      <w:pPr>
        <w:ind w:firstLine="720"/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rFonts w:eastAsia="Times New Roman" w:cs="Times New Roman"/>
          <w:b/>
          <w:bCs/>
          <w:kern w:val="36"/>
          <w:sz w:val="24"/>
          <w:szCs w:val="24"/>
        </w:rPr>
        <w:t>(mevsim ve takvim</w:t>
      </w:r>
      <w:r w:rsidR="006F0E9D">
        <w:rPr>
          <w:rFonts w:eastAsia="Times New Roman" w:cs="Times New Roman"/>
          <w:b/>
          <w:bCs/>
          <w:kern w:val="36"/>
          <w:sz w:val="24"/>
          <w:szCs w:val="24"/>
        </w:rPr>
        <w:t xml:space="preserve"> etkilerinden arındırılmış, 2015</w:t>
      </w:r>
      <w:r>
        <w:rPr>
          <w:rFonts w:eastAsia="Times New Roman" w:cs="Times New Roman"/>
          <w:b/>
          <w:bCs/>
          <w:kern w:val="36"/>
          <w:sz w:val="24"/>
          <w:szCs w:val="24"/>
        </w:rPr>
        <w:t>=100)</w:t>
      </w:r>
    </w:p>
    <w:p w:rsidR="00FD0F6A" w:rsidRDefault="006F0E9D" w:rsidP="00FD0F6A">
      <w:pPr>
        <w:jc w:val="both"/>
        <w:outlineLvl w:val="1"/>
        <w:rPr>
          <w:rFonts w:eastAsia="Times New Roman" w:cs="Times New Roman"/>
          <w:b/>
          <w:bCs/>
          <w:kern w:val="36"/>
          <w:sz w:val="28"/>
          <w:szCs w:val="24"/>
        </w:rPr>
      </w:pPr>
      <w:r>
        <w:rPr>
          <w:noProof/>
        </w:rPr>
        <w:drawing>
          <wp:inline distT="0" distB="0" distL="0" distR="0" wp14:anchorId="64AF5AB6" wp14:editId="182DD853">
            <wp:extent cx="5972175" cy="3105150"/>
            <wp:effectExtent l="0" t="0" r="9525" b="1905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144CC" w:rsidRPr="006F0E9D" w:rsidRDefault="006F0E9D" w:rsidP="00C144CC">
      <w:pPr>
        <w:jc w:val="both"/>
      </w:pPr>
      <w:r w:rsidRPr="006F0E9D">
        <w:t>Ocak</w:t>
      </w:r>
      <w:r w:rsidR="00574C38" w:rsidRPr="006F0E9D">
        <w:t xml:space="preserve"> ayında Türkiye (TR) Geneli </w:t>
      </w:r>
      <w:r w:rsidR="007B58E6" w:rsidRPr="006F0E9D">
        <w:t>Sanayi Üretim Endeksi</w:t>
      </w:r>
      <w:r w:rsidR="00574C38" w:rsidRPr="006F0E9D">
        <w:t xml:space="preserve"> </w:t>
      </w:r>
      <w:r w:rsidR="00EE2F80" w:rsidRPr="006F0E9D">
        <w:rPr>
          <w:b/>
          <w:u w:val="single"/>
        </w:rPr>
        <w:t>bir önceki aya (</w:t>
      </w:r>
      <w:r w:rsidRPr="006F0E9D">
        <w:rPr>
          <w:b/>
          <w:u w:val="single"/>
        </w:rPr>
        <w:t>Aralık</w:t>
      </w:r>
      <w:r w:rsidR="0092656D" w:rsidRPr="006F0E9D">
        <w:rPr>
          <w:b/>
          <w:u w:val="single"/>
        </w:rPr>
        <w:t xml:space="preserve"> 2017</w:t>
      </w:r>
      <w:r w:rsidR="00574C38" w:rsidRPr="006F0E9D">
        <w:rPr>
          <w:b/>
          <w:u w:val="single"/>
        </w:rPr>
        <w:t>) göre</w:t>
      </w:r>
      <w:r w:rsidR="00574C38" w:rsidRPr="006F0E9D">
        <w:t xml:space="preserve"> yüzde </w:t>
      </w:r>
      <w:r w:rsidRPr="006F0E9D">
        <w:t>0,8</w:t>
      </w:r>
      <w:r w:rsidR="00E7657B" w:rsidRPr="006F0E9D">
        <w:t xml:space="preserve"> </w:t>
      </w:r>
      <w:r w:rsidRPr="006F0E9D">
        <w:t>azalış</w:t>
      </w:r>
      <w:r w:rsidR="00FE2D1A" w:rsidRPr="006F0E9D">
        <w:t xml:space="preserve"> </w:t>
      </w:r>
      <w:r w:rsidR="00370B3E" w:rsidRPr="006F0E9D">
        <w:t>göst</w:t>
      </w:r>
      <w:r w:rsidR="004B6888" w:rsidRPr="006F0E9D">
        <w:t>ermiştir</w:t>
      </w:r>
      <w:r w:rsidR="00574C38" w:rsidRPr="006F0E9D">
        <w:t xml:space="preserve">. </w:t>
      </w:r>
      <w:r w:rsidRPr="006F0E9D">
        <w:t>Ocak (2018</w:t>
      </w:r>
      <w:r w:rsidR="00574C38" w:rsidRPr="006F0E9D">
        <w:t>) ayında</w:t>
      </w:r>
      <w:r w:rsidR="007E6746" w:rsidRPr="006F0E9D">
        <w:t xml:space="preserve">ki </w:t>
      </w:r>
      <w:r w:rsidR="00F27E6F">
        <w:t>azalışta</w:t>
      </w:r>
      <w:r w:rsidR="00DB1F8E" w:rsidRPr="006F0E9D">
        <w:t xml:space="preserve"> </w:t>
      </w:r>
      <w:r w:rsidR="007E6746" w:rsidRPr="006F0E9D">
        <w:t xml:space="preserve">bir önceki </w:t>
      </w:r>
      <w:r w:rsidR="0092656D" w:rsidRPr="006F0E9D">
        <w:t>aya göre</w:t>
      </w:r>
      <w:r w:rsidR="00DB1F8E" w:rsidRPr="006F0E9D">
        <w:t xml:space="preserve"> </w:t>
      </w:r>
      <w:r w:rsidRPr="006F0E9D">
        <w:t>imalat sanayi sektöründeki yüzde 1,2’li</w:t>
      </w:r>
      <w:r w:rsidR="00BF1C98" w:rsidRPr="006F0E9D">
        <w:t xml:space="preserve">k </w:t>
      </w:r>
      <w:r w:rsidRPr="006F0E9D">
        <w:t>azalışın</w:t>
      </w:r>
      <w:r w:rsidR="00BF1C98" w:rsidRPr="006F0E9D">
        <w:t xml:space="preserve"> etkili olduğu görülmektedir.</w:t>
      </w:r>
      <w:r w:rsidR="003F266E" w:rsidRPr="006F0E9D">
        <w:t xml:space="preserve"> </w:t>
      </w:r>
      <w:r w:rsidRPr="006F0E9D">
        <w:t xml:space="preserve">Madencilik ve </w:t>
      </w:r>
      <w:proofErr w:type="spellStart"/>
      <w:r w:rsidRPr="006F0E9D">
        <w:t>taşocakçılığı</w:t>
      </w:r>
      <w:proofErr w:type="spellEnd"/>
      <w:r w:rsidRPr="006F0E9D">
        <w:t xml:space="preserve"> sektöründe bir önceki aya göre yüzde 5,2’lik ve e</w:t>
      </w:r>
      <w:r w:rsidR="00B33F14" w:rsidRPr="006F0E9D">
        <w:t>lektrik, gaz, buhar ve iklimlendirme üre</w:t>
      </w:r>
      <w:r w:rsidRPr="006F0E9D">
        <w:t>timi ve dağıtımı sektöründe bir önceki aya göre yüzde 0,6’lık artış</w:t>
      </w:r>
      <w:r w:rsidR="00B33F14" w:rsidRPr="006F0E9D">
        <w:t xml:space="preserve"> yaşanmıştır. </w:t>
      </w:r>
    </w:p>
    <w:p w:rsidR="007B58E6" w:rsidRPr="00F27E6F" w:rsidRDefault="00C04441" w:rsidP="007B58E6">
      <w:pPr>
        <w:jc w:val="both"/>
      </w:pPr>
      <w:r w:rsidRPr="00F27E6F">
        <w:t>Ana sanayi gruplarına</w:t>
      </w:r>
      <w:r w:rsidR="007B58E6" w:rsidRPr="00F27E6F">
        <w:t xml:space="preserve"> bakıldığında </w:t>
      </w:r>
      <w:r w:rsidR="0003703C" w:rsidRPr="00F27E6F">
        <w:t xml:space="preserve">toplam sanayi endeksindeki </w:t>
      </w:r>
      <w:r w:rsidR="006F0E9D" w:rsidRPr="00F27E6F">
        <w:t>azalışta</w:t>
      </w:r>
      <w:r w:rsidR="009E2652" w:rsidRPr="00F27E6F">
        <w:t xml:space="preserve"> </w:t>
      </w:r>
      <w:r w:rsidR="006F0E9D" w:rsidRPr="00F27E6F">
        <w:t xml:space="preserve">sermaye malı, </w:t>
      </w:r>
      <w:r w:rsidR="00F27E6F" w:rsidRPr="00F27E6F">
        <w:t xml:space="preserve">dayanıklı tüketim malı ve </w:t>
      </w:r>
      <w:r w:rsidR="00B33F14" w:rsidRPr="00F27E6F">
        <w:t>dayanıksı</w:t>
      </w:r>
      <w:r w:rsidR="00F27E6F" w:rsidRPr="00F27E6F">
        <w:t xml:space="preserve">z tüketim malında </w:t>
      </w:r>
      <w:r w:rsidR="00736EAB" w:rsidRPr="00F27E6F">
        <w:t xml:space="preserve">yaşanan </w:t>
      </w:r>
      <w:r w:rsidR="00F27E6F" w:rsidRPr="00F27E6F">
        <w:t>azalışın</w:t>
      </w:r>
      <w:r w:rsidR="007B58E6" w:rsidRPr="00F27E6F">
        <w:t xml:space="preserve"> etkisi oldu</w:t>
      </w:r>
      <w:r w:rsidR="00FD0F6A" w:rsidRPr="00F27E6F">
        <w:t>ğu görülmektedir</w:t>
      </w:r>
      <w:r w:rsidR="00521423" w:rsidRPr="00F27E6F">
        <w:t xml:space="preserve"> (</w:t>
      </w:r>
      <w:r w:rsidR="00F27E6F" w:rsidRPr="00F27E6F">
        <w:t>sırasıyla yüzde 4,3’lük, 1,3’lük ve 0,4’lü</w:t>
      </w:r>
      <w:r w:rsidR="00B33F14" w:rsidRPr="00F27E6F">
        <w:t>k</w:t>
      </w:r>
      <w:r w:rsidR="004B6888" w:rsidRPr="00F27E6F">
        <w:t xml:space="preserve"> </w:t>
      </w:r>
      <w:r w:rsidR="00F27E6F" w:rsidRPr="00F27E6F">
        <w:t>azalışlar</w:t>
      </w:r>
      <w:r w:rsidR="0003703C" w:rsidRPr="00F27E6F">
        <w:t>)</w:t>
      </w:r>
      <w:r w:rsidR="007B58E6" w:rsidRPr="00F27E6F">
        <w:t>.</w:t>
      </w:r>
    </w:p>
    <w:p w:rsidR="004B6888" w:rsidRDefault="00F27E6F" w:rsidP="00160C8F">
      <w:pPr>
        <w:jc w:val="both"/>
      </w:pPr>
      <w:r>
        <w:lastRenderedPageBreak/>
        <w:t xml:space="preserve">Teknoloji sınıflarına bakıldığında bir önceki aya göre </w:t>
      </w:r>
      <w:r w:rsidR="00E67764">
        <w:t xml:space="preserve">orta düşük teknolojili üretimde </w:t>
      </w:r>
      <w:r>
        <w:t xml:space="preserve">yüzde </w:t>
      </w:r>
      <w:r>
        <w:t>2,4’</w:t>
      </w:r>
      <w:r w:rsidR="00E67764">
        <w:t xml:space="preserve">lük, </w:t>
      </w:r>
      <w:r>
        <w:t xml:space="preserve"> orta ileri teknoloji</w:t>
      </w:r>
      <w:r w:rsidR="005B7F6F">
        <w:t>li</w:t>
      </w:r>
      <w:r>
        <w:t xml:space="preserve"> üretimde</w:t>
      </w:r>
      <w:r w:rsidR="00E67764">
        <w:t xml:space="preserve"> </w:t>
      </w:r>
      <w:r>
        <w:t xml:space="preserve">yüzde 1,5’lik ve düşük </w:t>
      </w:r>
      <w:r w:rsidR="009E5A0A">
        <w:t>teknoloji</w:t>
      </w:r>
      <w:r w:rsidR="005B7F6F">
        <w:t>li üretim</w:t>
      </w:r>
      <w:r w:rsidR="009E5A0A">
        <w:t xml:space="preserve">de </w:t>
      </w:r>
      <w:r>
        <w:t xml:space="preserve">yüzde 0,9’luk azalış </w:t>
      </w:r>
      <w:r w:rsidR="00E67764">
        <w:t xml:space="preserve">yaşanırken; </w:t>
      </w:r>
      <w:r>
        <w:t xml:space="preserve"> </w:t>
      </w:r>
      <w:r w:rsidR="00E67764">
        <w:t>i</w:t>
      </w:r>
      <w:r>
        <w:t>leri teknoloji</w:t>
      </w:r>
      <w:r w:rsidR="005B7F6F">
        <w:t>li</w:t>
      </w:r>
      <w:r>
        <w:t xml:space="preserve"> üretimde yüzde 4,2’lik artış yaşanmıştır. </w:t>
      </w:r>
      <w:bookmarkStart w:id="0" w:name="_GoBack"/>
      <w:bookmarkEnd w:id="0"/>
    </w:p>
    <w:p w:rsidR="00737710" w:rsidRDefault="00737710" w:rsidP="00737710">
      <w:pPr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</w:p>
    <w:p w:rsidR="00737710" w:rsidRDefault="00737710" w:rsidP="00737710">
      <w:pPr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rFonts w:eastAsia="Times New Roman" w:cs="Times New Roman"/>
          <w:b/>
          <w:bCs/>
          <w:kern w:val="36"/>
          <w:sz w:val="24"/>
          <w:szCs w:val="24"/>
        </w:rPr>
        <w:t xml:space="preserve">Şekil 2: </w:t>
      </w:r>
      <w:r w:rsidRPr="004D5C8C">
        <w:rPr>
          <w:rFonts w:eastAsia="Times New Roman" w:cs="Times New Roman"/>
          <w:b/>
          <w:bCs/>
          <w:kern w:val="36"/>
          <w:sz w:val="24"/>
          <w:szCs w:val="24"/>
        </w:rPr>
        <w:t xml:space="preserve">Yıllara göre </w:t>
      </w:r>
      <w:r>
        <w:rPr>
          <w:rFonts w:eastAsia="Times New Roman" w:cs="Times New Roman"/>
          <w:b/>
          <w:bCs/>
          <w:kern w:val="36"/>
          <w:sz w:val="24"/>
          <w:szCs w:val="24"/>
        </w:rPr>
        <w:t>Ocak</w:t>
      </w:r>
      <w:r w:rsidRPr="004D5C8C">
        <w:rPr>
          <w:rFonts w:eastAsia="Times New Roman" w:cs="Times New Roman"/>
          <w:b/>
          <w:bCs/>
          <w:kern w:val="36"/>
          <w:sz w:val="24"/>
          <w:szCs w:val="24"/>
        </w:rPr>
        <w:t xml:space="preserve"> ayları itibariyle sanayi üretim endeksi </w:t>
      </w:r>
    </w:p>
    <w:p w:rsidR="00737710" w:rsidRPr="004D5C8C" w:rsidRDefault="00737710" w:rsidP="00737710">
      <w:pPr>
        <w:ind w:firstLine="720"/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  <w:r w:rsidRPr="004D5C8C">
        <w:rPr>
          <w:rFonts w:eastAsia="Times New Roman" w:cs="Times New Roman"/>
          <w:b/>
          <w:bCs/>
          <w:kern w:val="36"/>
          <w:sz w:val="24"/>
          <w:szCs w:val="24"/>
        </w:rPr>
        <w:t xml:space="preserve">(takvim etkisinden arındırılmış, </w:t>
      </w:r>
      <w:r>
        <w:rPr>
          <w:rFonts w:eastAsia="Times New Roman" w:cs="Times New Roman"/>
          <w:b/>
          <w:bCs/>
          <w:kern w:val="36"/>
          <w:sz w:val="24"/>
          <w:szCs w:val="24"/>
        </w:rPr>
        <w:t>2015</w:t>
      </w:r>
      <w:r w:rsidRPr="004D5C8C">
        <w:rPr>
          <w:rFonts w:eastAsia="Times New Roman" w:cs="Times New Roman"/>
          <w:b/>
          <w:bCs/>
          <w:kern w:val="36"/>
          <w:sz w:val="24"/>
          <w:szCs w:val="24"/>
        </w:rPr>
        <w:t>=100)</w:t>
      </w:r>
    </w:p>
    <w:p w:rsidR="00737710" w:rsidRDefault="00737710" w:rsidP="00737710">
      <w:pPr>
        <w:jc w:val="both"/>
      </w:pPr>
      <w:r>
        <w:rPr>
          <w:noProof/>
        </w:rPr>
        <w:drawing>
          <wp:inline distT="0" distB="0" distL="0" distR="0" wp14:anchorId="40AC5583" wp14:editId="2E596220">
            <wp:extent cx="5343525" cy="2466975"/>
            <wp:effectExtent l="0" t="0" r="9525" b="9525"/>
            <wp:docPr id="3" name="Grafi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37710" w:rsidRDefault="00737710" w:rsidP="00160C8F">
      <w:pPr>
        <w:jc w:val="both"/>
      </w:pPr>
    </w:p>
    <w:p w:rsidR="002D4D88" w:rsidRPr="009E5A0A" w:rsidRDefault="00160C8F" w:rsidP="00160C8F">
      <w:pPr>
        <w:jc w:val="both"/>
      </w:pPr>
      <w:r w:rsidRPr="009E5A0A">
        <w:t xml:space="preserve">Endeks </w:t>
      </w:r>
      <w:r w:rsidRPr="009E5A0A">
        <w:rPr>
          <w:b/>
          <w:u w:val="single"/>
        </w:rPr>
        <w:t>bir önceki yılın aynı ayına göre</w:t>
      </w:r>
      <w:r w:rsidRPr="009E5A0A">
        <w:t xml:space="preserve"> yüzde </w:t>
      </w:r>
      <w:r w:rsidR="009E5A0A" w:rsidRPr="009E5A0A">
        <w:t>12</w:t>
      </w:r>
      <w:r w:rsidR="002D4D88" w:rsidRPr="009E5A0A">
        <w:t xml:space="preserve"> </w:t>
      </w:r>
      <w:r w:rsidRPr="009E5A0A">
        <w:t xml:space="preserve">oranında </w:t>
      </w:r>
      <w:r w:rsidR="00756492" w:rsidRPr="009E5A0A">
        <w:t xml:space="preserve">artış </w:t>
      </w:r>
      <w:r w:rsidRPr="009E5A0A">
        <w:t xml:space="preserve">göstermiştir. </w:t>
      </w:r>
      <w:r w:rsidR="009E5A0A" w:rsidRPr="009E5A0A">
        <w:t>Ocak (2018</w:t>
      </w:r>
      <w:r w:rsidRPr="009E5A0A">
        <w:t xml:space="preserve">) ayında önceki yıla göre ana sanayi </w:t>
      </w:r>
      <w:r w:rsidR="00C04441" w:rsidRPr="009E5A0A">
        <w:t>sektörleri</w:t>
      </w:r>
      <w:r w:rsidRPr="009E5A0A">
        <w:t xml:space="preserve"> itibariyle en yüksek artış </w:t>
      </w:r>
      <w:r w:rsidR="009E5A0A" w:rsidRPr="009E5A0A">
        <w:t>yüzde 22</w:t>
      </w:r>
      <w:r w:rsidR="0057513F" w:rsidRPr="009E5A0A">
        <w:t>,</w:t>
      </w:r>
      <w:r w:rsidR="009E5A0A" w:rsidRPr="009E5A0A">
        <w:t>9</w:t>
      </w:r>
      <w:r w:rsidR="005A54BA" w:rsidRPr="009E5A0A">
        <w:t xml:space="preserve"> ile </w:t>
      </w:r>
      <w:r w:rsidR="0057513F" w:rsidRPr="009E5A0A">
        <w:t xml:space="preserve">madencilik ve </w:t>
      </w:r>
      <w:proofErr w:type="spellStart"/>
      <w:r w:rsidR="0057513F" w:rsidRPr="009E5A0A">
        <w:t>taşocakçılığı</w:t>
      </w:r>
      <w:proofErr w:type="spellEnd"/>
      <w:r w:rsidR="0057513F" w:rsidRPr="009E5A0A">
        <w:t xml:space="preserve"> sektöründe </w:t>
      </w:r>
      <w:r w:rsidR="002D4D88" w:rsidRPr="009E5A0A">
        <w:t>gerçekleşti. B</w:t>
      </w:r>
      <w:r w:rsidR="00DA15C9" w:rsidRPr="009E5A0A">
        <w:t xml:space="preserve">u sektörü, </w:t>
      </w:r>
      <w:r w:rsidRPr="009E5A0A">
        <w:t xml:space="preserve"> </w:t>
      </w:r>
      <w:r w:rsidR="009E5A0A" w:rsidRPr="009E5A0A">
        <w:t>yüzde 12,3</w:t>
      </w:r>
      <w:r w:rsidR="00DA15C9" w:rsidRPr="009E5A0A">
        <w:t xml:space="preserve"> artışla imalat sanayi ve </w:t>
      </w:r>
      <w:r w:rsidR="005A54BA" w:rsidRPr="009E5A0A">
        <w:t xml:space="preserve">yüzde </w:t>
      </w:r>
      <w:r w:rsidR="009E5A0A" w:rsidRPr="009E5A0A">
        <w:t>3</w:t>
      </w:r>
      <w:r w:rsidR="00DA15C9" w:rsidRPr="009E5A0A">
        <w:t xml:space="preserve">,7 artışla </w:t>
      </w:r>
      <w:r w:rsidR="005A54BA" w:rsidRPr="009E5A0A">
        <w:t>elektrik, gaz, buhar ve iklimlendirme üretimi ve dağıtımı</w:t>
      </w:r>
      <w:r w:rsidR="004B6888" w:rsidRPr="009E5A0A">
        <w:t xml:space="preserve"> </w:t>
      </w:r>
      <w:r w:rsidR="002D4D88" w:rsidRPr="009E5A0A">
        <w:t>sektörleri</w:t>
      </w:r>
      <w:r w:rsidR="00A0036E" w:rsidRPr="009E5A0A">
        <w:t xml:space="preserve"> </w:t>
      </w:r>
      <w:r w:rsidR="009D3086" w:rsidRPr="009E5A0A">
        <w:t>takip etti.</w:t>
      </w:r>
      <w:r w:rsidR="006E77D7" w:rsidRPr="009E5A0A">
        <w:t xml:space="preserve"> </w:t>
      </w:r>
    </w:p>
    <w:p w:rsidR="00160C8F" w:rsidRDefault="00C04441" w:rsidP="00160C8F">
      <w:pPr>
        <w:jc w:val="both"/>
      </w:pPr>
      <w:r w:rsidRPr="009E5A0A">
        <w:t>Ana sanayi gruplarına</w:t>
      </w:r>
      <w:r w:rsidR="00160C8F" w:rsidRPr="009E5A0A">
        <w:t xml:space="preserve"> bakıldığında</w:t>
      </w:r>
      <w:r w:rsidR="00D72BD4" w:rsidRPr="009E5A0A">
        <w:t>,</w:t>
      </w:r>
      <w:r w:rsidRPr="009E5A0A">
        <w:t xml:space="preserve"> </w:t>
      </w:r>
      <w:r w:rsidR="009E5A0A" w:rsidRPr="009E5A0A">
        <w:t>ara malı imalatında yüzde 16,1’li</w:t>
      </w:r>
      <w:r w:rsidR="00DA15C9" w:rsidRPr="009E5A0A">
        <w:t xml:space="preserve">k, </w:t>
      </w:r>
      <w:r w:rsidR="009E5A0A" w:rsidRPr="009E5A0A">
        <w:t>dayanıksız tüketim</w:t>
      </w:r>
      <w:r w:rsidR="00062D7C" w:rsidRPr="009E5A0A">
        <w:t xml:space="preserve"> malı imalatında yüzde </w:t>
      </w:r>
      <w:r w:rsidR="009E5A0A" w:rsidRPr="009E5A0A">
        <w:t>12,5’li</w:t>
      </w:r>
      <w:r w:rsidR="00321B60" w:rsidRPr="009E5A0A">
        <w:t>k</w:t>
      </w:r>
      <w:r w:rsidR="009D3086" w:rsidRPr="009E5A0A">
        <w:t>,</w:t>
      </w:r>
      <w:r w:rsidR="002D4D88" w:rsidRPr="009E5A0A">
        <w:t xml:space="preserve"> </w:t>
      </w:r>
      <w:r w:rsidR="009E5A0A" w:rsidRPr="009E5A0A">
        <w:t>dayanıklı</w:t>
      </w:r>
      <w:r w:rsidR="004B6888" w:rsidRPr="009E5A0A">
        <w:t xml:space="preserve"> t</w:t>
      </w:r>
      <w:r w:rsidR="009E5A0A" w:rsidRPr="009E5A0A">
        <w:t>üketim malı imalatında yüzde 11,9’lu</w:t>
      </w:r>
      <w:r w:rsidR="00DA15C9" w:rsidRPr="009E5A0A">
        <w:t xml:space="preserve">k, </w:t>
      </w:r>
      <w:r w:rsidR="009E5A0A" w:rsidRPr="009E5A0A">
        <w:t>sermaye malı</w:t>
      </w:r>
      <w:r w:rsidR="00A50B41" w:rsidRPr="009E5A0A">
        <w:t xml:space="preserve"> </w:t>
      </w:r>
      <w:r w:rsidR="009E5A0A" w:rsidRPr="009E5A0A">
        <w:t>imalatında yüzde 6,6</w:t>
      </w:r>
      <w:r w:rsidR="009D3086" w:rsidRPr="009E5A0A">
        <w:t>’</w:t>
      </w:r>
      <w:r w:rsidR="009E5A0A" w:rsidRPr="009E5A0A">
        <w:t>lı</w:t>
      </w:r>
      <w:r w:rsidR="002D4D88" w:rsidRPr="009E5A0A">
        <w:t>k</w:t>
      </w:r>
      <w:r w:rsidR="004B6888" w:rsidRPr="009E5A0A">
        <w:t xml:space="preserve"> </w:t>
      </w:r>
      <w:r w:rsidR="00DA15C9" w:rsidRPr="009E5A0A">
        <w:t xml:space="preserve">ve </w:t>
      </w:r>
      <w:r w:rsidR="009E5A0A" w:rsidRPr="009E5A0A">
        <w:t>enerji imalatında yüzde 4,1</w:t>
      </w:r>
      <w:r w:rsidR="00DA15C9" w:rsidRPr="009E5A0A">
        <w:t xml:space="preserve">’lik </w:t>
      </w:r>
      <w:r w:rsidR="004B6888" w:rsidRPr="009E5A0A">
        <w:t>artış yaşandığı görülmektedir.</w:t>
      </w:r>
      <w:r w:rsidR="004B6888">
        <w:t xml:space="preserve"> </w:t>
      </w:r>
    </w:p>
    <w:p w:rsidR="00A23FB2" w:rsidRDefault="009E5A0A" w:rsidP="00160C8F">
      <w:pPr>
        <w:jc w:val="both"/>
      </w:pPr>
      <w:r>
        <w:t>Bir önceki yılın aynı ayına göre değişime t</w:t>
      </w:r>
      <w:r>
        <w:t xml:space="preserve">eknoloji sınıflarına </w:t>
      </w:r>
      <w:r>
        <w:t>göre bakıldığında</w:t>
      </w:r>
      <w:r>
        <w:t xml:space="preserve"> </w:t>
      </w:r>
      <w:r>
        <w:t>orta düşük teknolojili üretimde yüzde 14,4’lük, düşük teknolojili üretimde yüzde 11,6’lık, orta ileri teknolojili üretimde yüzde 11,3’</w:t>
      </w:r>
      <w:r w:rsidR="005B7F6F">
        <w:t xml:space="preserve">lük </w:t>
      </w:r>
      <w:r>
        <w:t xml:space="preserve">ve ileri teknolojili üretimde yüzde 10,9’luk artış yaşanmıştır. </w:t>
      </w:r>
    </w:p>
    <w:p w:rsidR="00FD0F6A" w:rsidRDefault="00FD0F6A" w:rsidP="00FD0F6A">
      <w:pPr>
        <w:jc w:val="both"/>
        <w:outlineLvl w:val="1"/>
        <w:rPr>
          <w:rFonts w:eastAsia="Times New Roman" w:cs="Times New Roman"/>
          <w:b/>
          <w:bCs/>
          <w:kern w:val="36"/>
          <w:sz w:val="28"/>
          <w:szCs w:val="24"/>
          <w:highlight w:val="yellow"/>
        </w:rPr>
      </w:pPr>
    </w:p>
    <w:p w:rsidR="00737710" w:rsidRDefault="00737710" w:rsidP="00FD0F6A">
      <w:pPr>
        <w:jc w:val="both"/>
        <w:outlineLvl w:val="1"/>
        <w:rPr>
          <w:rFonts w:eastAsia="Times New Roman" w:cs="Times New Roman"/>
          <w:b/>
          <w:bCs/>
          <w:kern w:val="36"/>
          <w:sz w:val="28"/>
          <w:szCs w:val="24"/>
          <w:highlight w:val="yellow"/>
        </w:rPr>
      </w:pPr>
    </w:p>
    <w:p w:rsidR="00737710" w:rsidRPr="00CF56CB" w:rsidRDefault="00737710" w:rsidP="00FD0F6A">
      <w:pPr>
        <w:jc w:val="both"/>
        <w:outlineLvl w:val="1"/>
        <w:rPr>
          <w:rFonts w:eastAsia="Times New Roman" w:cs="Times New Roman"/>
          <w:b/>
          <w:bCs/>
          <w:kern w:val="36"/>
          <w:sz w:val="28"/>
          <w:szCs w:val="24"/>
          <w:highlight w:val="yellow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110"/>
        <w:gridCol w:w="2153"/>
        <w:gridCol w:w="2067"/>
      </w:tblGrid>
      <w:tr w:rsidR="00160C8F" w:rsidRPr="004D5C8C" w:rsidTr="00DB1389">
        <w:trPr>
          <w:trHeight w:val="264"/>
        </w:trPr>
        <w:tc>
          <w:tcPr>
            <w:tcW w:w="4110" w:type="dxa"/>
            <w:noWrap/>
            <w:hideMark/>
          </w:tcPr>
          <w:p w:rsidR="00160C8F" w:rsidRPr="004D5C8C" w:rsidRDefault="00160C8F" w:rsidP="00246284">
            <w:pPr>
              <w:jc w:val="both"/>
            </w:pPr>
            <w:r w:rsidRPr="004D5C8C">
              <w:rPr>
                <w:b/>
              </w:rPr>
              <w:lastRenderedPageBreak/>
              <w:t xml:space="preserve">Tablo 1: Sanayi Üretim Endeksi Büyüme Oranları,  </w:t>
            </w:r>
            <w:r w:rsidR="00176D24">
              <w:rPr>
                <w:b/>
              </w:rPr>
              <w:t>Ocak 2018</w:t>
            </w:r>
          </w:p>
        </w:tc>
        <w:tc>
          <w:tcPr>
            <w:tcW w:w="2153" w:type="dxa"/>
            <w:noWrap/>
            <w:hideMark/>
          </w:tcPr>
          <w:p w:rsidR="00160C8F" w:rsidRPr="004D5C8C" w:rsidRDefault="00160C8F" w:rsidP="00160C8F">
            <w:pPr>
              <w:jc w:val="both"/>
            </w:pPr>
            <w:r w:rsidRPr="004D5C8C">
              <w:t>Önceki Aya Göre</w:t>
            </w:r>
            <w:r w:rsidR="00923FD3" w:rsidRPr="004D5C8C">
              <w:t xml:space="preserve"> (%)</w:t>
            </w:r>
          </w:p>
        </w:tc>
        <w:tc>
          <w:tcPr>
            <w:tcW w:w="2067" w:type="dxa"/>
            <w:noWrap/>
            <w:hideMark/>
          </w:tcPr>
          <w:p w:rsidR="00160C8F" w:rsidRPr="004D5C8C" w:rsidRDefault="00160C8F" w:rsidP="00160C8F">
            <w:pPr>
              <w:jc w:val="both"/>
            </w:pPr>
            <w:r w:rsidRPr="004D5C8C">
              <w:t>Önceki Yıla Göre</w:t>
            </w:r>
            <w:r w:rsidR="00923FD3" w:rsidRPr="004D5C8C">
              <w:t xml:space="preserve"> (%)</w:t>
            </w:r>
          </w:p>
        </w:tc>
      </w:tr>
      <w:tr w:rsidR="00D72BD4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D72BD4" w:rsidRPr="004D5C8C" w:rsidRDefault="00D72BD4" w:rsidP="00160C8F">
            <w:pPr>
              <w:jc w:val="both"/>
            </w:pPr>
            <w:r w:rsidRPr="004D5C8C">
              <w:t>Ara Malı</w:t>
            </w:r>
          </w:p>
        </w:tc>
        <w:tc>
          <w:tcPr>
            <w:tcW w:w="2153" w:type="dxa"/>
            <w:noWrap/>
            <w:vAlign w:val="center"/>
            <w:hideMark/>
          </w:tcPr>
          <w:p w:rsidR="00D72BD4" w:rsidRPr="004D5C8C" w:rsidRDefault="00176D24" w:rsidP="00D42512">
            <w:pPr>
              <w:jc w:val="center"/>
            </w:pPr>
            <w:r>
              <w:t>0,2</w:t>
            </w:r>
          </w:p>
        </w:tc>
        <w:tc>
          <w:tcPr>
            <w:tcW w:w="2067" w:type="dxa"/>
            <w:noWrap/>
            <w:vAlign w:val="center"/>
            <w:hideMark/>
          </w:tcPr>
          <w:p w:rsidR="00D72BD4" w:rsidRPr="004D5C8C" w:rsidRDefault="00176D24" w:rsidP="00D42512">
            <w:pPr>
              <w:jc w:val="center"/>
            </w:pPr>
            <w:r>
              <w:t>16,1</w:t>
            </w:r>
          </w:p>
        </w:tc>
      </w:tr>
      <w:tr w:rsidR="00D72BD4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D72BD4" w:rsidRPr="004D5C8C" w:rsidRDefault="00D72BD4" w:rsidP="00160C8F">
            <w:pPr>
              <w:jc w:val="both"/>
            </w:pPr>
            <w:r w:rsidRPr="004D5C8C">
              <w:t>Dayanıklı Tüketim Malı</w:t>
            </w:r>
          </w:p>
        </w:tc>
        <w:tc>
          <w:tcPr>
            <w:tcW w:w="2153" w:type="dxa"/>
            <w:noWrap/>
            <w:vAlign w:val="center"/>
            <w:hideMark/>
          </w:tcPr>
          <w:p w:rsidR="00D72BD4" w:rsidRPr="004D5C8C" w:rsidRDefault="00176D24" w:rsidP="00D42512">
            <w:pPr>
              <w:jc w:val="center"/>
            </w:pPr>
            <w:r>
              <w:t>-1,3</w:t>
            </w:r>
          </w:p>
        </w:tc>
        <w:tc>
          <w:tcPr>
            <w:tcW w:w="2067" w:type="dxa"/>
            <w:noWrap/>
            <w:vAlign w:val="center"/>
            <w:hideMark/>
          </w:tcPr>
          <w:p w:rsidR="00D72BD4" w:rsidRPr="004D5C8C" w:rsidRDefault="00176D24" w:rsidP="00D42512">
            <w:pPr>
              <w:jc w:val="center"/>
            </w:pPr>
            <w:r>
              <w:t>11,9</w:t>
            </w:r>
          </w:p>
        </w:tc>
      </w:tr>
      <w:tr w:rsidR="00D72BD4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D72BD4" w:rsidRPr="004D5C8C" w:rsidRDefault="00D72BD4" w:rsidP="00160C8F">
            <w:pPr>
              <w:jc w:val="both"/>
            </w:pPr>
            <w:r w:rsidRPr="004D5C8C">
              <w:t>Dayanıksız Tüketim Malı</w:t>
            </w:r>
          </w:p>
        </w:tc>
        <w:tc>
          <w:tcPr>
            <w:tcW w:w="2153" w:type="dxa"/>
            <w:noWrap/>
            <w:vAlign w:val="center"/>
            <w:hideMark/>
          </w:tcPr>
          <w:p w:rsidR="00D72BD4" w:rsidRPr="004D5C8C" w:rsidRDefault="00176D24" w:rsidP="00D42512">
            <w:pPr>
              <w:jc w:val="center"/>
            </w:pPr>
            <w:r>
              <w:t>-0,4</w:t>
            </w:r>
          </w:p>
        </w:tc>
        <w:tc>
          <w:tcPr>
            <w:tcW w:w="2067" w:type="dxa"/>
            <w:noWrap/>
            <w:vAlign w:val="center"/>
            <w:hideMark/>
          </w:tcPr>
          <w:p w:rsidR="00D72BD4" w:rsidRPr="004D5C8C" w:rsidRDefault="00176D24" w:rsidP="00D42512">
            <w:pPr>
              <w:jc w:val="center"/>
            </w:pPr>
            <w:r>
              <w:t>12,5</w:t>
            </w:r>
          </w:p>
        </w:tc>
      </w:tr>
      <w:tr w:rsidR="00D72BD4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D72BD4" w:rsidRPr="004D5C8C" w:rsidRDefault="00D72BD4" w:rsidP="00160C8F">
            <w:pPr>
              <w:jc w:val="both"/>
            </w:pPr>
            <w:r w:rsidRPr="004D5C8C">
              <w:t>Enerji</w:t>
            </w:r>
          </w:p>
        </w:tc>
        <w:tc>
          <w:tcPr>
            <w:tcW w:w="2153" w:type="dxa"/>
            <w:noWrap/>
            <w:vAlign w:val="center"/>
            <w:hideMark/>
          </w:tcPr>
          <w:p w:rsidR="00D72BD4" w:rsidRPr="004D5C8C" w:rsidRDefault="00176D24" w:rsidP="00D42512">
            <w:pPr>
              <w:jc w:val="center"/>
            </w:pPr>
            <w:r>
              <w:t>1,3</w:t>
            </w:r>
          </w:p>
        </w:tc>
        <w:tc>
          <w:tcPr>
            <w:tcW w:w="2067" w:type="dxa"/>
            <w:noWrap/>
            <w:vAlign w:val="center"/>
            <w:hideMark/>
          </w:tcPr>
          <w:p w:rsidR="00D72BD4" w:rsidRPr="004D5C8C" w:rsidRDefault="00176D24" w:rsidP="00D42512">
            <w:pPr>
              <w:jc w:val="center"/>
            </w:pPr>
            <w:r>
              <w:t>4,1</w:t>
            </w:r>
          </w:p>
        </w:tc>
      </w:tr>
      <w:tr w:rsidR="00D72BD4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D72BD4" w:rsidRPr="004D5C8C" w:rsidRDefault="00D72BD4" w:rsidP="00160C8F">
            <w:pPr>
              <w:jc w:val="both"/>
            </w:pPr>
            <w:r w:rsidRPr="004D5C8C">
              <w:t>Sermaye Malı</w:t>
            </w:r>
          </w:p>
        </w:tc>
        <w:tc>
          <w:tcPr>
            <w:tcW w:w="2153" w:type="dxa"/>
            <w:noWrap/>
            <w:vAlign w:val="center"/>
            <w:hideMark/>
          </w:tcPr>
          <w:p w:rsidR="00D72BD4" w:rsidRPr="004D5C8C" w:rsidRDefault="00176D24" w:rsidP="00D42512">
            <w:pPr>
              <w:jc w:val="center"/>
            </w:pPr>
            <w:r>
              <w:t>-4,3</w:t>
            </w:r>
          </w:p>
        </w:tc>
        <w:tc>
          <w:tcPr>
            <w:tcW w:w="2067" w:type="dxa"/>
            <w:noWrap/>
            <w:vAlign w:val="center"/>
            <w:hideMark/>
          </w:tcPr>
          <w:p w:rsidR="00D72BD4" w:rsidRPr="004D5C8C" w:rsidRDefault="00176D24" w:rsidP="00D42512">
            <w:pPr>
              <w:jc w:val="center"/>
            </w:pPr>
            <w:r>
              <w:t>6,6</w:t>
            </w:r>
          </w:p>
        </w:tc>
      </w:tr>
      <w:tr w:rsidR="00D72BD4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D72BD4" w:rsidRPr="004D5C8C" w:rsidRDefault="00D72BD4" w:rsidP="00160C8F">
            <w:pPr>
              <w:jc w:val="both"/>
              <w:rPr>
                <w:b/>
              </w:rPr>
            </w:pPr>
            <w:r w:rsidRPr="004D5C8C">
              <w:rPr>
                <w:b/>
              </w:rPr>
              <w:t>TOPLAM</w:t>
            </w:r>
          </w:p>
        </w:tc>
        <w:tc>
          <w:tcPr>
            <w:tcW w:w="2153" w:type="dxa"/>
            <w:noWrap/>
            <w:vAlign w:val="center"/>
            <w:hideMark/>
          </w:tcPr>
          <w:p w:rsidR="00D72BD4" w:rsidRPr="004D5C8C" w:rsidRDefault="00176D24" w:rsidP="00D42512">
            <w:pPr>
              <w:jc w:val="center"/>
              <w:rPr>
                <w:b/>
              </w:rPr>
            </w:pPr>
            <w:r>
              <w:rPr>
                <w:b/>
              </w:rPr>
              <w:t>-0,8</w:t>
            </w:r>
          </w:p>
        </w:tc>
        <w:tc>
          <w:tcPr>
            <w:tcW w:w="2067" w:type="dxa"/>
            <w:noWrap/>
            <w:vAlign w:val="center"/>
            <w:hideMark/>
          </w:tcPr>
          <w:p w:rsidR="00D72BD4" w:rsidRPr="004D5C8C" w:rsidRDefault="00176D24" w:rsidP="00D42512">
            <w:pPr>
              <w:jc w:val="center"/>
              <w:rPr>
                <w:b/>
              </w:rPr>
            </w:pPr>
            <w:r>
              <w:rPr>
                <w:b/>
              </w:rPr>
              <w:t>12,0</w:t>
            </w:r>
          </w:p>
        </w:tc>
      </w:tr>
      <w:tr w:rsidR="0043515F" w:rsidRPr="004D5C8C" w:rsidTr="00A23FB2">
        <w:trPr>
          <w:trHeight w:val="264"/>
        </w:trPr>
        <w:tc>
          <w:tcPr>
            <w:tcW w:w="4110" w:type="dxa"/>
            <w:shd w:val="clear" w:color="auto" w:fill="808080" w:themeFill="background1" w:themeFillShade="80"/>
            <w:noWrap/>
            <w:hideMark/>
          </w:tcPr>
          <w:p w:rsidR="0043515F" w:rsidRPr="004D5C8C" w:rsidRDefault="0043515F" w:rsidP="004D5C8C">
            <w:pPr>
              <w:jc w:val="both"/>
              <w:rPr>
                <w:b/>
              </w:rPr>
            </w:pPr>
          </w:p>
        </w:tc>
        <w:tc>
          <w:tcPr>
            <w:tcW w:w="2153" w:type="dxa"/>
            <w:shd w:val="clear" w:color="auto" w:fill="808080" w:themeFill="background1" w:themeFillShade="80"/>
            <w:noWrap/>
            <w:hideMark/>
          </w:tcPr>
          <w:p w:rsidR="0043515F" w:rsidRPr="004D5C8C" w:rsidRDefault="0043515F" w:rsidP="00316F1D">
            <w:pPr>
              <w:jc w:val="both"/>
            </w:pPr>
          </w:p>
        </w:tc>
        <w:tc>
          <w:tcPr>
            <w:tcW w:w="2067" w:type="dxa"/>
            <w:shd w:val="clear" w:color="auto" w:fill="808080" w:themeFill="background1" w:themeFillShade="80"/>
            <w:noWrap/>
            <w:hideMark/>
          </w:tcPr>
          <w:p w:rsidR="0043515F" w:rsidRPr="004D5C8C" w:rsidRDefault="0043515F" w:rsidP="00316F1D">
            <w:pPr>
              <w:jc w:val="both"/>
            </w:pPr>
          </w:p>
        </w:tc>
      </w:tr>
      <w:tr w:rsidR="00160C8F" w:rsidRPr="004D5C8C" w:rsidTr="003F2715">
        <w:trPr>
          <w:trHeight w:val="264"/>
        </w:trPr>
        <w:tc>
          <w:tcPr>
            <w:tcW w:w="4110" w:type="dxa"/>
            <w:noWrap/>
            <w:hideMark/>
          </w:tcPr>
          <w:p w:rsidR="00160C8F" w:rsidRPr="004D5C8C" w:rsidRDefault="00E7657B" w:rsidP="00246284">
            <w:pPr>
              <w:jc w:val="both"/>
            </w:pPr>
            <w:r>
              <w:rPr>
                <w:b/>
              </w:rPr>
              <w:t xml:space="preserve">Tablo 2: Sanayi Üretim Endeksi </w:t>
            </w:r>
            <w:proofErr w:type="spellStart"/>
            <w:r w:rsidR="00160C8F" w:rsidRPr="004D5C8C">
              <w:rPr>
                <w:b/>
              </w:rPr>
              <w:t>Sektörel</w:t>
            </w:r>
            <w:proofErr w:type="spellEnd"/>
            <w:r w:rsidR="00160C8F" w:rsidRPr="004D5C8C">
              <w:rPr>
                <w:b/>
              </w:rPr>
              <w:t xml:space="preserve"> Büyüme Oranları, </w:t>
            </w:r>
            <w:r w:rsidR="00176D24">
              <w:rPr>
                <w:b/>
              </w:rPr>
              <w:t>Ocak 2018</w:t>
            </w:r>
          </w:p>
        </w:tc>
        <w:tc>
          <w:tcPr>
            <w:tcW w:w="2153" w:type="dxa"/>
            <w:noWrap/>
            <w:hideMark/>
          </w:tcPr>
          <w:p w:rsidR="00160C8F" w:rsidRPr="004D5C8C" w:rsidRDefault="00160C8F" w:rsidP="00316F1D">
            <w:pPr>
              <w:jc w:val="both"/>
            </w:pPr>
            <w:r w:rsidRPr="004D5C8C">
              <w:t>Önceki Aya Göre</w:t>
            </w:r>
            <w:r w:rsidR="008A575D" w:rsidRPr="004D5C8C">
              <w:t xml:space="preserve"> (%)</w:t>
            </w:r>
          </w:p>
        </w:tc>
        <w:tc>
          <w:tcPr>
            <w:tcW w:w="2067" w:type="dxa"/>
            <w:noWrap/>
            <w:hideMark/>
          </w:tcPr>
          <w:p w:rsidR="00160C8F" w:rsidRPr="004D5C8C" w:rsidRDefault="00160C8F" w:rsidP="00316F1D">
            <w:pPr>
              <w:jc w:val="both"/>
            </w:pPr>
            <w:r w:rsidRPr="004D5C8C">
              <w:t>Önceki Yıla Göre</w:t>
            </w:r>
            <w:r w:rsidR="008A575D" w:rsidRPr="004D5C8C">
              <w:t xml:space="preserve"> (%)</w:t>
            </w:r>
          </w:p>
        </w:tc>
      </w:tr>
      <w:tr w:rsidR="00160C8F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160C8F" w:rsidRPr="004D5C8C" w:rsidRDefault="00160C8F" w:rsidP="00160C8F">
            <w:r w:rsidRPr="004D5C8C">
              <w:t>Madencilik ve Taşocakçılığı</w:t>
            </w:r>
          </w:p>
        </w:tc>
        <w:tc>
          <w:tcPr>
            <w:tcW w:w="2153" w:type="dxa"/>
            <w:noWrap/>
            <w:vAlign w:val="center"/>
            <w:hideMark/>
          </w:tcPr>
          <w:p w:rsidR="00160C8F" w:rsidRPr="004D5C8C" w:rsidRDefault="00176D24" w:rsidP="00D42512">
            <w:pPr>
              <w:jc w:val="center"/>
            </w:pPr>
            <w:r>
              <w:t>5,2</w:t>
            </w:r>
          </w:p>
        </w:tc>
        <w:tc>
          <w:tcPr>
            <w:tcW w:w="2067" w:type="dxa"/>
            <w:noWrap/>
            <w:vAlign w:val="center"/>
            <w:hideMark/>
          </w:tcPr>
          <w:p w:rsidR="00160C8F" w:rsidRPr="004D5C8C" w:rsidRDefault="00176D24" w:rsidP="00D42512">
            <w:pPr>
              <w:jc w:val="center"/>
            </w:pPr>
            <w:r>
              <w:t>22,9</w:t>
            </w:r>
          </w:p>
        </w:tc>
      </w:tr>
      <w:tr w:rsidR="00160C8F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160C8F" w:rsidRPr="004D5C8C" w:rsidRDefault="00160C8F" w:rsidP="00160C8F">
            <w:pPr>
              <w:jc w:val="both"/>
            </w:pPr>
            <w:r w:rsidRPr="004D5C8C">
              <w:t>İmalat Sanayi</w:t>
            </w:r>
          </w:p>
        </w:tc>
        <w:tc>
          <w:tcPr>
            <w:tcW w:w="2153" w:type="dxa"/>
            <w:noWrap/>
            <w:vAlign w:val="center"/>
            <w:hideMark/>
          </w:tcPr>
          <w:p w:rsidR="00160C8F" w:rsidRPr="004D5C8C" w:rsidRDefault="00176D24" w:rsidP="00D42512">
            <w:pPr>
              <w:jc w:val="center"/>
            </w:pPr>
            <w:r>
              <w:t>-</w:t>
            </w:r>
            <w:r w:rsidR="009858B1">
              <w:t>1,2</w:t>
            </w:r>
          </w:p>
        </w:tc>
        <w:tc>
          <w:tcPr>
            <w:tcW w:w="2067" w:type="dxa"/>
            <w:noWrap/>
            <w:vAlign w:val="center"/>
            <w:hideMark/>
          </w:tcPr>
          <w:p w:rsidR="00160C8F" w:rsidRPr="004D5C8C" w:rsidRDefault="00176D24" w:rsidP="00D42512">
            <w:pPr>
              <w:jc w:val="center"/>
            </w:pPr>
            <w:r>
              <w:t>12,3</w:t>
            </w:r>
          </w:p>
        </w:tc>
      </w:tr>
      <w:tr w:rsidR="00160C8F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160C8F" w:rsidRPr="004D5C8C" w:rsidRDefault="00160C8F" w:rsidP="00160C8F">
            <w:pPr>
              <w:jc w:val="both"/>
            </w:pPr>
            <w:r w:rsidRPr="004D5C8C">
              <w:t>Elektrik, Gaz, Buhar ve İklimlendirme Üretimi ve Dağıtımı</w:t>
            </w:r>
          </w:p>
        </w:tc>
        <w:tc>
          <w:tcPr>
            <w:tcW w:w="2153" w:type="dxa"/>
            <w:noWrap/>
            <w:vAlign w:val="center"/>
            <w:hideMark/>
          </w:tcPr>
          <w:p w:rsidR="00160C8F" w:rsidRPr="004D5C8C" w:rsidRDefault="00176D24" w:rsidP="00D42512">
            <w:pPr>
              <w:jc w:val="center"/>
            </w:pPr>
            <w:r>
              <w:t>0,6</w:t>
            </w:r>
          </w:p>
        </w:tc>
        <w:tc>
          <w:tcPr>
            <w:tcW w:w="2067" w:type="dxa"/>
            <w:noWrap/>
            <w:vAlign w:val="center"/>
            <w:hideMark/>
          </w:tcPr>
          <w:p w:rsidR="00160C8F" w:rsidRPr="004D5C8C" w:rsidRDefault="00176D24" w:rsidP="00D42512">
            <w:pPr>
              <w:jc w:val="center"/>
            </w:pPr>
            <w:r>
              <w:t>3</w:t>
            </w:r>
            <w:r w:rsidR="00D0085D">
              <w:t>,7</w:t>
            </w:r>
          </w:p>
        </w:tc>
      </w:tr>
      <w:tr w:rsidR="00160C8F" w:rsidRPr="00160C8F" w:rsidTr="00D42512">
        <w:trPr>
          <w:trHeight w:val="264"/>
        </w:trPr>
        <w:tc>
          <w:tcPr>
            <w:tcW w:w="4110" w:type="dxa"/>
            <w:noWrap/>
            <w:hideMark/>
          </w:tcPr>
          <w:p w:rsidR="00160C8F" w:rsidRPr="004D5C8C" w:rsidRDefault="00160C8F" w:rsidP="00316F1D">
            <w:pPr>
              <w:jc w:val="both"/>
              <w:rPr>
                <w:b/>
              </w:rPr>
            </w:pPr>
            <w:r w:rsidRPr="004D5C8C">
              <w:rPr>
                <w:b/>
              </w:rPr>
              <w:t>TOPLAM</w:t>
            </w:r>
          </w:p>
        </w:tc>
        <w:tc>
          <w:tcPr>
            <w:tcW w:w="2153" w:type="dxa"/>
            <w:noWrap/>
            <w:vAlign w:val="center"/>
            <w:hideMark/>
          </w:tcPr>
          <w:p w:rsidR="00160C8F" w:rsidRPr="004D5C8C" w:rsidRDefault="00176D24" w:rsidP="00D42512">
            <w:pPr>
              <w:jc w:val="center"/>
              <w:rPr>
                <w:b/>
              </w:rPr>
            </w:pPr>
            <w:r>
              <w:rPr>
                <w:b/>
              </w:rPr>
              <w:t>-0,8</w:t>
            </w:r>
          </w:p>
        </w:tc>
        <w:tc>
          <w:tcPr>
            <w:tcW w:w="2067" w:type="dxa"/>
            <w:noWrap/>
            <w:vAlign w:val="center"/>
            <w:hideMark/>
          </w:tcPr>
          <w:p w:rsidR="00160C8F" w:rsidRPr="00424CC0" w:rsidRDefault="00176D24" w:rsidP="00D42512">
            <w:pPr>
              <w:jc w:val="center"/>
              <w:rPr>
                <w:b/>
              </w:rPr>
            </w:pPr>
            <w:r>
              <w:rPr>
                <w:b/>
              </w:rPr>
              <w:t>12,0</w:t>
            </w:r>
          </w:p>
        </w:tc>
      </w:tr>
      <w:tr w:rsidR="00A23FB2" w:rsidRPr="00160C8F" w:rsidTr="00A23FB2">
        <w:trPr>
          <w:trHeight w:val="264"/>
        </w:trPr>
        <w:tc>
          <w:tcPr>
            <w:tcW w:w="4110" w:type="dxa"/>
            <w:shd w:val="clear" w:color="auto" w:fill="808080" w:themeFill="background1" w:themeFillShade="80"/>
            <w:noWrap/>
          </w:tcPr>
          <w:p w:rsidR="00A23FB2" w:rsidRPr="004D5C8C" w:rsidRDefault="00A23FB2" w:rsidP="00316F1D">
            <w:pPr>
              <w:jc w:val="both"/>
              <w:rPr>
                <w:b/>
              </w:rPr>
            </w:pPr>
          </w:p>
        </w:tc>
        <w:tc>
          <w:tcPr>
            <w:tcW w:w="2153" w:type="dxa"/>
            <w:shd w:val="clear" w:color="auto" w:fill="808080" w:themeFill="background1" w:themeFillShade="80"/>
            <w:noWrap/>
            <w:vAlign w:val="center"/>
          </w:tcPr>
          <w:p w:rsidR="00A23FB2" w:rsidRDefault="00A23FB2" w:rsidP="00D42512">
            <w:pPr>
              <w:jc w:val="center"/>
              <w:rPr>
                <w:b/>
              </w:rPr>
            </w:pPr>
          </w:p>
        </w:tc>
        <w:tc>
          <w:tcPr>
            <w:tcW w:w="2067" w:type="dxa"/>
            <w:shd w:val="clear" w:color="auto" w:fill="808080" w:themeFill="background1" w:themeFillShade="80"/>
            <w:noWrap/>
            <w:vAlign w:val="center"/>
          </w:tcPr>
          <w:p w:rsidR="00A23FB2" w:rsidRDefault="00A23FB2" w:rsidP="00D42512">
            <w:pPr>
              <w:jc w:val="center"/>
              <w:rPr>
                <w:b/>
              </w:rPr>
            </w:pPr>
          </w:p>
        </w:tc>
      </w:tr>
      <w:tr w:rsidR="00A23FB2" w:rsidRPr="00160C8F" w:rsidTr="000872D4">
        <w:trPr>
          <w:trHeight w:val="264"/>
        </w:trPr>
        <w:tc>
          <w:tcPr>
            <w:tcW w:w="4110" w:type="dxa"/>
            <w:noWrap/>
          </w:tcPr>
          <w:p w:rsidR="00A23FB2" w:rsidRPr="004D5C8C" w:rsidRDefault="00A23FB2" w:rsidP="00316F1D">
            <w:pPr>
              <w:jc w:val="both"/>
              <w:rPr>
                <w:b/>
              </w:rPr>
            </w:pPr>
            <w:r>
              <w:rPr>
                <w:b/>
              </w:rPr>
              <w:t>Tablo 3. Sanayi Üretim Endeksi Teknoloji Sınıflarına Göre Büyüme Oranları, Ocak 2018</w:t>
            </w:r>
          </w:p>
        </w:tc>
        <w:tc>
          <w:tcPr>
            <w:tcW w:w="2153" w:type="dxa"/>
            <w:noWrap/>
          </w:tcPr>
          <w:p w:rsidR="00A23FB2" w:rsidRPr="004D5C8C" w:rsidRDefault="00A23FB2" w:rsidP="00237D9D">
            <w:pPr>
              <w:jc w:val="both"/>
            </w:pPr>
            <w:r w:rsidRPr="004D5C8C">
              <w:t>Önceki Aya Göre (%)</w:t>
            </w:r>
          </w:p>
        </w:tc>
        <w:tc>
          <w:tcPr>
            <w:tcW w:w="2067" w:type="dxa"/>
            <w:noWrap/>
          </w:tcPr>
          <w:p w:rsidR="00A23FB2" w:rsidRPr="004D5C8C" w:rsidRDefault="00A23FB2" w:rsidP="00237D9D">
            <w:pPr>
              <w:jc w:val="both"/>
            </w:pPr>
            <w:r w:rsidRPr="004D5C8C">
              <w:t>Önceki Yıla Göre (%)</w:t>
            </w:r>
          </w:p>
        </w:tc>
      </w:tr>
      <w:tr w:rsidR="00A23FB2" w:rsidRPr="00160C8F" w:rsidTr="00D42512">
        <w:trPr>
          <w:trHeight w:val="264"/>
        </w:trPr>
        <w:tc>
          <w:tcPr>
            <w:tcW w:w="4110" w:type="dxa"/>
            <w:noWrap/>
          </w:tcPr>
          <w:p w:rsidR="00A23FB2" w:rsidRPr="00A23FB2" w:rsidRDefault="00A23FB2" w:rsidP="00316F1D">
            <w:pPr>
              <w:jc w:val="both"/>
            </w:pPr>
            <w:r>
              <w:t>Düşük T</w:t>
            </w:r>
            <w:r w:rsidRPr="00A23FB2">
              <w:t>eknoloji</w:t>
            </w:r>
          </w:p>
        </w:tc>
        <w:tc>
          <w:tcPr>
            <w:tcW w:w="2153" w:type="dxa"/>
            <w:noWrap/>
            <w:vAlign w:val="center"/>
          </w:tcPr>
          <w:p w:rsidR="00A23FB2" w:rsidRPr="00176D24" w:rsidRDefault="00176D24" w:rsidP="00D42512">
            <w:pPr>
              <w:jc w:val="center"/>
            </w:pPr>
            <w:r w:rsidRPr="00176D24">
              <w:t>-0,9</w:t>
            </w:r>
          </w:p>
        </w:tc>
        <w:tc>
          <w:tcPr>
            <w:tcW w:w="2067" w:type="dxa"/>
            <w:noWrap/>
            <w:vAlign w:val="center"/>
          </w:tcPr>
          <w:p w:rsidR="00A23FB2" w:rsidRPr="00176D24" w:rsidRDefault="00176D24" w:rsidP="00D42512">
            <w:pPr>
              <w:jc w:val="center"/>
            </w:pPr>
            <w:r w:rsidRPr="00176D24">
              <w:t>11,6</w:t>
            </w:r>
          </w:p>
        </w:tc>
      </w:tr>
      <w:tr w:rsidR="00A23FB2" w:rsidRPr="00160C8F" w:rsidTr="00D42512">
        <w:trPr>
          <w:trHeight w:val="264"/>
        </w:trPr>
        <w:tc>
          <w:tcPr>
            <w:tcW w:w="4110" w:type="dxa"/>
            <w:noWrap/>
          </w:tcPr>
          <w:p w:rsidR="00A23FB2" w:rsidRPr="00A23FB2" w:rsidRDefault="00A23FB2" w:rsidP="00316F1D">
            <w:pPr>
              <w:jc w:val="both"/>
            </w:pPr>
            <w:r>
              <w:t>Orta Düşük T</w:t>
            </w:r>
            <w:r w:rsidRPr="00A23FB2">
              <w:t>eknoloji</w:t>
            </w:r>
          </w:p>
        </w:tc>
        <w:tc>
          <w:tcPr>
            <w:tcW w:w="2153" w:type="dxa"/>
            <w:noWrap/>
            <w:vAlign w:val="center"/>
          </w:tcPr>
          <w:p w:rsidR="00A23FB2" w:rsidRPr="00176D24" w:rsidRDefault="00176D24" w:rsidP="00D42512">
            <w:pPr>
              <w:jc w:val="center"/>
            </w:pPr>
            <w:r w:rsidRPr="00176D24">
              <w:t>-2,4</w:t>
            </w:r>
          </w:p>
        </w:tc>
        <w:tc>
          <w:tcPr>
            <w:tcW w:w="2067" w:type="dxa"/>
            <w:noWrap/>
            <w:vAlign w:val="center"/>
          </w:tcPr>
          <w:p w:rsidR="00A23FB2" w:rsidRPr="00176D24" w:rsidRDefault="00176D24" w:rsidP="00D42512">
            <w:pPr>
              <w:jc w:val="center"/>
            </w:pPr>
            <w:r w:rsidRPr="00176D24">
              <w:t>14,4</w:t>
            </w:r>
          </w:p>
        </w:tc>
      </w:tr>
      <w:tr w:rsidR="00A23FB2" w:rsidRPr="00160C8F" w:rsidTr="00D42512">
        <w:trPr>
          <w:trHeight w:val="264"/>
        </w:trPr>
        <w:tc>
          <w:tcPr>
            <w:tcW w:w="4110" w:type="dxa"/>
            <w:noWrap/>
          </w:tcPr>
          <w:p w:rsidR="00A23FB2" w:rsidRPr="00A23FB2" w:rsidRDefault="00A23FB2" w:rsidP="00316F1D">
            <w:pPr>
              <w:jc w:val="both"/>
            </w:pPr>
            <w:r>
              <w:t>Orta Yüksek T</w:t>
            </w:r>
            <w:r w:rsidRPr="00A23FB2">
              <w:t>eknoloji</w:t>
            </w:r>
          </w:p>
        </w:tc>
        <w:tc>
          <w:tcPr>
            <w:tcW w:w="2153" w:type="dxa"/>
            <w:noWrap/>
            <w:vAlign w:val="center"/>
          </w:tcPr>
          <w:p w:rsidR="00A23FB2" w:rsidRPr="00176D24" w:rsidRDefault="00176D24" w:rsidP="00D42512">
            <w:pPr>
              <w:jc w:val="center"/>
            </w:pPr>
            <w:r w:rsidRPr="00176D24">
              <w:t>-1,5</w:t>
            </w:r>
          </w:p>
        </w:tc>
        <w:tc>
          <w:tcPr>
            <w:tcW w:w="2067" w:type="dxa"/>
            <w:noWrap/>
            <w:vAlign w:val="center"/>
          </w:tcPr>
          <w:p w:rsidR="00A23FB2" w:rsidRPr="00176D24" w:rsidRDefault="00176D24" w:rsidP="00D42512">
            <w:pPr>
              <w:jc w:val="center"/>
            </w:pPr>
            <w:r w:rsidRPr="00176D24">
              <w:t>11,3</w:t>
            </w:r>
          </w:p>
        </w:tc>
      </w:tr>
      <w:tr w:rsidR="00A23FB2" w:rsidRPr="00160C8F" w:rsidTr="00D42512">
        <w:trPr>
          <w:trHeight w:val="264"/>
        </w:trPr>
        <w:tc>
          <w:tcPr>
            <w:tcW w:w="4110" w:type="dxa"/>
            <w:noWrap/>
          </w:tcPr>
          <w:p w:rsidR="00A23FB2" w:rsidRPr="00A23FB2" w:rsidRDefault="00A23FB2" w:rsidP="00316F1D">
            <w:pPr>
              <w:jc w:val="both"/>
            </w:pPr>
            <w:r>
              <w:t>Yüksek T</w:t>
            </w:r>
            <w:r w:rsidRPr="00A23FB2">
              <w:t>eknoloji</w:t>
            </w:r>
          </w:p>
        </w:tc>
        <w:tc>
          <w:tcPr>
            <w:tcW w:w="2153" w:type="dxa"/>
            <w:noWrap/>
            <w:vAlign w:val="center"/>
          </w:tcPr>
          <w:p w:rsidR="00A23FB2" w:rsidRPr="00176D24" w:rsidRDefault="00176D24" w:rsidP="00D42512">
            <w:pPr>
              <w:jc w:val="center"/>
            </w:pPr>
            <w:r w:rsidRPr="00176D24">
              <w:t>4,2</w:t>
            </w:r>
          </w:p>
        </w:tc>
        <w:tc>
          <w:tcPr>
            <w:tcW w:w="2067" w:type="dxa"/>
            <w:noWrap/>
            <w:vAlign w:val="center"/>
          </w:tcPr>
          <w:p w:rsidR="00A23FB2" w:rsidRPr="00176D24" w:rsidRDefault="00176D24" w:rsidP="00D42512">
            <w:pPr>
              <w:jc w:val="center"/>
            </w:pPr>
            <w:r w:rsidRPr="00176D24">
              <w:t>10,9</w:t>
            </w:r>
          </w:p>
        </w:tc>
      </w:tr>
      <w:tr w:rsidR="00A23FB2" w:rsidRPr="00160C8F" w:rsidTr="00D42512">
        <w:trPr>
          <w:trHeight w:val="264"/>
        </w:trPr>
        <w:tc>
          <w:tcPr>
            <w:tcW w:w="4110" w:type="dxa"/>
            <w:noWrap/>
          </w:tcPr>
          <w:p w:rsidR="00A23FB2" w:rsidRDefault="00A23FB2" w:rsidP="00316F1D">
            <w:pPr>
              <w:jc w:val="both"/>
              <w:rPr>
                <w:b/>
              </w:rPr>
            </w:pPr>
            <w:r>
              <w:rPr>
                <w:b/>
              </w:rPr>
              <w:t>TOPLAM</w:t>
            </w:r>
          </w:p>
        </w:tc>
        <w:tc>
          <w:tcPr>
            <w:tcW w:w="2153" w:type="dxa"/>
            <w:noWrap/>
            <w:vAlign w:val="center"/>
          </w:tcPr>
          <w:p w:rsidR="00A23FB2" w:rsidRPr="00176D24" w:rsidRDefault="00176D24" w:rsidP="00D42512">
            <w:pPr>
              <w:jc w:val="center"/>
              <w:rPr>
                <w:b/>
              </w:rPr>
            </w:pPr>
            <w:r w:rsidRPr="00176D24">
              <w:rPr>
                <w:b/>
              </w:rPr>
              <w:t>-0,8</w:t>
            </w:r>
          </w:p>
        </w:tc>
        <w:tc>
          <w:tcPr>
            <w:tcW w:w="2067" w:type="dxa"/>
            <w:noWrap/>
            <w:vAlign w:val="center"/>
          </w:tcPr>
          <w:p w:rsidR="00A23FB2" w:rsidRDefault="00176D24" w:rsidP="00D42512">
            <w:pPr>
              <w:jc w:val="center"/>
              <w:rPr>
                <w:b/>
              </w:rPr>
            </w:pPr>
            <w:r>
              <w:rPr>
                <w:b/>
              </w:rPr>
              <w:t>12,0</w:t>
            </w:r>
          </w:p>
        </w:tc>
      </w:tr>
    </w:tbl>
    <w:p w:rsidR="00160C8F" w:rsidRDefault="00160C8F" w:rsidP="00FE2D1A">
      <w:pPr>
        <w:jc w:val="both"/>
      </w:pPr>
    </w:p>
    <w:sectPr w:rsidR="00160C8F" w:rsidSect="00432DF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9B5" w:rsidRDefault="009319B5" w:rsidP="00C04441">
      <w:pPr>
        <w:spacing w:after="0" w:line="240" w:lineRule="auto"/>
      </w:pPr>
      <w:r>
        <w:separator/>
      </w:r>
    </w:p>
  </w:endnote>
  <w:endnote w:type="continuationSeparator" w:id="0">
    <w:p w:rsidR="009319B5" w:rsidRDefault="009319B5" w:rsidP="00C0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9B5" w:rsidRDefault="009319B5" w:rsidP="00C04441">
      <w:pPr>
        <w:spacing w:after="0" w:line="240" w:lineRule="auto"/>
      </w:pPr>
      <w:r>
        <w:separator/>
      </w:r>
    </w:p>
  </w:footnote>
  <w:footnote w:type="continuationSeparator" w:id="0">
    <w:p w:rsidR="009319B5" w:rsidRDefault="009319B5" w:rsidP="00C04441">
      <w:pPr>
        <w:spacing w:after="0" w:line="240" w:lineRule="auto"/>
      </w:pPr>
      <w:r>
        <w:continuationSeparator/>
      </w:r>
    </w:p>
  </w:footnote>
  <w:footnote w:id="1">
    <w:p w:rsidR="00522A6C" w:rsidRDefault="00522A6C" w:rsidP="00522A6C">
      <w:pPr>
        <w:pStyle w:val="DipnotMetni"/>
      </w:pPr>
      <w:r>
        <w:rPr>
          <w:rStyle w:val="DipnotBavurusu"/>
        </w:rPr>
        <w:footnoteRef/>
      </w:r>
      <w:r>
        <w:t xml:space="preserve"> Bültende mevsim ve takvim etkilerinden arındırılmış veriler kullanılmaktadır</w:t>
      </w:r>
      <w:r w:rsidR="00460688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55"/>
    <w:rsid w:val="0003703C"/>
    <w:rsid w:val="000449DE"/>
    <w:rsid w:val="00062D7C"/>
    <w:rsid w:val="000701FD"/>
    <w:rsid w:val="00070A53"/>
    <w:rsid w:val="000A2533"/>
    <w:rsid w:val="000B7EA9"/>
    <w:rsid w:val="000D18BE"/>
    <w:rsid w:val="00112C0F"/>
    <w:rsid w:val="00114EEB"/>
    <w:rsid w:val="001243A0"/>
    <w:rsid w:val="00135340"/>
    <w:rsid w:val="00151BD3"/>
    <w:rsid w:val="00160C8F"/>
    <w:rsid w:val="0017212E"/>
    <w:rsid w:val="00176D24"/>
    <w:rsid w:val="0019156C"/>
    <w:rsid w:val="001A1146"/>
    <w:rsid w:val="001C74F4"/>
    <w:rsid w:val="001D08EA"/>
    <w:rsid w:val="001E11A2"/>
    <w:rsid w:val="001E5A63"/>
    <w:rsid w:val="001F7633"/>
    <w:rsid w:val="0021363C"/>
    <w:rsid w:val="002145C8"/>
    <w:rsid w:val="00233BD5"/>
    <w:rsid w:val="00246284"/>
    <w:rsid w:val="002625C7"/>
    <w:rsid w:val="0028186A"/>
    <w:rsid w:val="002B2CC6"/>
    <w:rsid w:val="002B53E4"/>
    <w:rsid w:val="002C70D2"/>
    <w:rsid w:val="002D3E19"/>
    <w:rsid w:val="002D4D88"/>
    <w:rsid w:val="002D5594"/>
    <w:rsid w:val="00303320"/>
    <w:rsid w:val="00317C4E"/>
    <w:rsid w:val="00321B60"/>
    <w:rsid w:val="00350144"/>
    <w:rsid w:val="00351561"/>
    <w:rsid w:val="00354CE2"/>
    <w:rsid w:val="00357954"/>
    <w:rsid w:val="003641B3"/>
    <w:rsid w:val="00370B3E"/>
    <w:rsid w:val="003733E7"/>
    <w:rsid w:val="003A5037"/>
    <w:rsid w:val="003A57CB"/>
    <w:rsid w:val="003D2889"/>
    <w:rsid w:val="003F266E"/>
    <w:rsid w:val="003F2715"/>
    <w:rsid w:val="00407EC9"/>
    <w:rsid w:val="00424CC0"/>
    <w:rsid w:val="00431AD9"/>
    <w:rsid w:val="00432DF5"/>
    <w:rsid w:val="0043515F"/>
    <w:rsid w:val="00460688"/>
    <w:rsid w:val="004641F9"/>
    <w:rsid w:val="00492DFF"/>
    <w:rsid w:val="004B6888"/>
    <w:rsid w:val="004D5C8C"/>
    <w:rsid w:val="00517288"/>
    <w:rsid w:val="00521423"/>
    <w:rsid w:val="00522A6C"/>
    <w:rsid w:val="005405F5"/>
    <w:rsid w:val="00544D61"/>
    <w:rsid w:val="00561558"/>
    <w:rsid w:val="00574C38"/>
    <w:rsid w:val="0057513F"/>
    <w:rsid w:val="005758F2"/>
    <w:rsid w:val="0059020E"/>
    <w:rsid w:val="005A54BA"/>
    <w:rsid w:val="005B2B26"/>
    <w:rsid w:val="005B7F6F"/>
    <w:rsid w:val="005C53F8"/>
    <w:rsid w:val="006020BD"/>
    <w:rsid w:val="00625E9B"/>
    <w:rsid w:val="00640824"/>
    <w:rsid w:val="00643409"/>
    <w:rsid w:val="00677B0D"/>
    <w:rsid w:val="00685E8C"/>
    <w:rsid w:val="006B6AEA"/>
    <w:rsid w:val="006D41B5"/>
    <w:rsid w:val="006E77D7"/>
    <w:rsid w:val="006F0E9D"/>
    <w:rsid w:val="0070186C"/>
    <w:rsid w:val="00716E35"/>
    <w:rsid w:val="00731B2B"/>
    <w:rsid w:val="007330A1"/>
    <w:rsid w:val="00736EAB"/>
    <w:rsid w:val="00737710"/>
    <w:rsid w:val="007441EB"/>
    <w:rsid w:val="00756492"/>
    <w:rsid w:val="00770090"/>
    <w:rsid w:val="007700BF"/>
    <w:rsid w:val="007736BE"/>
    <w:rsid w:val="007A6AB2"/>
    <w:rsid w:val="007B58E6"/>
    <w:rsid w:val="007E6746"/>
    <w:rsid w:val="00802F1A"/>
    <w:rsid w:val="008A575D"/>
    <w:rsid w:val="008A7788"/>
    <w:rsid w:val="008C2C15"/>
    <w:rsid w:val="008C7F9E"/>
    <w:rsid w:val="008D1077"/>
    <w:rsid w:val="00907E0D"/>
    <w:rsid w:val="00923FD3"/>
    <w:rsid w:val="0092656D"/>
    <w:rsid w:val="009319B5"/>
    <w:rsid w:val="00935B34"/>
    <w:rsid w:val="009858B1"/>
    <w:rsid w:val="009A6E86"/>
    <w:rsid w:val="009D3086"/>
    <w:rsid w:val="009E2652"/>
    <w:rsid w:val="009E5A0A"/>
    <w:rsid w:val="009E756B"/>
    <w:rsid w:val="009F0A83"/>
    <w:rsid w:val="009F54F1"/>
    <w:rsid w:val="00A0036E"/>
    <w:rsid w:val="00A05007"/>
    <w:rsid w:val="00A23FB2"/>
    <w:rsid w:val="00A50B41"/>
    <w:rsid w:val="00A705F6"/>
    <w:rsid w:val="00A722F2"/>
    <w:rsid w:val="00A77365"/>
    <w:rsid w:val="00A83FD3"/>
    <w:rsid w:val="00AB7627"/>
    <w:rsid w:val="00AD2065"/>
    <w:rsid w:val="00B0776B"/>
    <w:rsid w:val="00B2786A"/>
    <w:rsid w:val="00B33F14"/>
    <w:rsid w:val="00B4315C"/>
    <w:rsid w:val="00B55EB8"/>
    <w:rsid w:val="00B74AF8"/>
    <w:rsid w:val="00B84FE9"/>
    <w:rsid w:val="00B86368"/>
    <w:rsid w:val="00B8689F"/>
    <w:rsid w:val="00B94EA9"/>
    <w:rsid w:val="00B96B22"/>
    <w:rsid w:val="00BA000A"/>
    <w:rsid w:val="00BC294E"/>
    <w:rsid w:val="00BC5F10"/>
    <w:rsid w:val="00BF1C98"/>
    <w:rsid w:val="00BF4755"/>
    <w:rsid w:val="00C04441"/>
    <w:rsid w:val="00C144CC"/>
    <w:rsid w:val="00C21D8B"/>
    <w:rsid w:val="00C73ED9"/>
    <w:rsid w:val="00C75496"/>
    <w:rsid w:val="00C97AFA"/>
    <w:rsid w:val="00CC7D5F"/>
    <w:rsid w:val="00CE4BAC"/>
    <w:rsid w:val="00CF56CB"/>
    <w:rsid w:val="00D0085D"/>
    <w:rsid w:val="00D21190"/>
    <w:rsid w:val="00D2299D"/>
    <w:rsid w:val="00D23355"/>
    <w:rsid w:val="00D26126"/>
    <w:rsid w:val="00D26ADA"/>
    <w:rsid w:val="00D42512"/>
    <w:rsid w:val="00D60CCE"/>
    <w:rsid w:val="00D72BD4"/>
    <w:rsid w:val="00D930AD"/>
    <w:rsid w:val="00DA15C9"/>
    <w:rsid w:val="00DB1389"/>
    <w:rsid w:val="00DB1F8E"/>
    <w:rsid w:val="00DC5FDC"/>
    <w:rsid w:val="00DE7934"/>
    <w:rsid w:val="00E46DD4"/>
    <w:rsid w:val="00E67764"/>
    <w:rsid w:val="00E7657B"/>
    <w:rsid w:val="00EC4AA2"/>
    <w:rsid w:val="00ED4544"/>
    <w:rsid w:val="00ED46EA"/>
    <w:rsid w:val="00EE0B38"/>
    <w:rsid w:val="00EE2F80"/>
    <w:rsid w:val="00EE565C"/>
    <w:rsid w:val="00EE5ABD"/>
    <w:rsid w:val="00EF4E45"/>
    <w:rsid w:val="00EF621F"/>
    <w:rsid w:val="00F061D6"/>
    <w:rsid w:val="00F111FE"/>
    <w:rsid w:val="00F27E6F"/>
    <w:rsid w:val="00F5758A"/>
    <w:rsid w:val="00FD0F6A"/>
    <w:rsid w:val="00FE2D1A"/>
    <w:rsid w:val="00FE7D5C"/>
    <w:rsid w:val="00FF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C0444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4441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C04441"/>
    <w:rPr>
      <w:vertAlign w:val="superscript"/>
    </w:rPr>
  </w:style>
  <w:style w:type="table" w:customStyle="1" w:styleId="AkKlavuz-Vurgu11">
    <w:name w:val="Açık Kılavuz - Vurgu 11"/>
    <w:basedOn w:val="NormalTablo"/>
    <w:uiPriority w:val="62"/>
    <w:rsid w:val="00FD0F6A"/>
    <w:pPr>
      <w:spacing w:after="0" w:line="240" w:lineRule="auto"/>
    </w:pPr>
    <w:rPr>
      <w:rFonts w:eastAsiaTheme="minorEastAsia"/>
      <w:lang w:val="tr-TR" w:eastAsia="tr-T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C0444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4441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C04441"/>
    <w:rPr>
      <w:vertAlign w:val="superscript"/>
    </w:rPr>
  </w:style>
  <w:style w:type="table" w:customStyle="1" w:styleId="AkKlavuz-Vurgu11">
    <w:name w:val="Açık Kılavuz - Vurgu 11"/>
    <w:basedOn w:val="NormalTablo"/>
    <w:uiPriority w:val="62"/>
    <w:rsid w:val="00FD0F6A"/>
    <w:pPr>
      <w:spacing w:after="0" w:line="240" w:lineRule="auto"/>
    </w:pPr>
    <w:rPr>
      <w:rFonts w:eastAsiaTheme="minorEastAsia"/>
      <w:lang w:val="tr-TR" w:eastAsia="tr-T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N20\Desktop\ENDEKS%20VE%20B&#220;LTENLER\Sanayi%20&#220;retim%20Endeksi\1.Ocak.2018\S&#220;E_Ocak.2018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N20\Desktop\ENDEKS%20VE%20B&#220;LTENLER\Sanayi%20&#220;retim%20Endeksi\1.Ocak.2018\S&#220;E_Ocak.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'mevsim ve takvim'!$A$2</c:f>
              <c:strCache>
                <c:ptCount val="1"/>
                <c:pt idx="0">
                  <c:v>2017</c:v>
                </c:pt>
              </c:strCache>
            </c:strRef>
          </c:tx>
          <c:marker>
            <c:symbol val="none"/>
          </c:marker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'mevsim ve takvim'!$B$1:$M$1</c:f>
              <c:strCache>
                <c:ptCount val="12"/>
                <c:pt idx="0">
                  <c:v>Ocak 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'mevsim ve takvim'!$B$2:$M$2</c:f>
              <c:numCache>
                <c:formatCode>0.0</c:formatCode>
                <c:ptCount val="12"/>
                <c:pt idx="0">
                  <c:v>105.66989473123699</c:v>
                </c:pt>
                <c:pt idx="1">
                  <c:v>107.423907350188</c:v>
                </c:pt>
                <c:pt idx="2">
                  <c:v>109.06628887440699</c:v>
                </c:pt>
                <c:pt idx="3">
                  <c:v>112.13310038410501</c:v>
                </c:pt>
                <c:pt idx="4">
                  <c:v>109.936518721651</c:v>
                </c:pt>
                <c:pt idx="5">
                  <c:v>110.054992235914</c:v>
                </c:pt>
                <c:pt idx="6">
                  <c:v>112.625961077987</c:v>
                </c:pt>
                <c:pt idx="7">
                  <c:v>114.71551766462601</c:v>
                </c:pt>
                <c:pt idx="8">
                  <c:v>115.600117150362</c:v>
                </c:pt>
                <c:pt idx="9">
                  <c:v>115.66276141128699</c:v>
                </c:pt>
                <c:pt idx="10">
                  <c:v>116.330322860255</c:v>
                </c:pt>
                <c:pt idx="11">
                  <c:v>118.926351864358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'mevsim ve takvim'!$A$3</c:f>
              <c:strCache>
                <c:ptCount val="1"/>
                <c:pt idx="0">
                  <c:v>2018</c:v>
                </c:pt>
              </c:strCache>
            </c:strRef>
          </c:tx>
          <c:marker>
            <c:symbol val="dash"/>
            <c:size val="10"/>
            <c:spPr>
              <a:solidFill>
                <a:srgbClr val="C00000"/>
              </a:solidFill>
              <a:ln>
                <a:noFill/>
              </a:ln>
            </c:spPr>
          </c:marker>
          <c:dLbls>
            <c:dLbl>
              <c:idx val="1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5873221216041367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'mevsim ve takvim'!$B$1:$M$1</c:f>
              <c:strCache>
                <c:ptCount val="12"/>
                <c:pt idx="0">
                  <c:v>Ocak 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'mevsim ve takvim'!$B$3</c:f>
              <c:numCache>
                <c:formatCode>0.0</c:formatCode>
                <c:ptCount val="1"/>
                <c:pt idx="0">
                  <c:v>117.973003912786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9950080"/>
        <c:axId val="220005504"/>
      </c:lineChart>
      <c:catAx>
        <c:axId val="219950080"/>
        <c:scaling>
          <c:orientation val="minMax"/>
        </c:scaling>
        <c:delete val="0"/>
        <c:axPos val="b"/>
        <c:majorTickMark val="out"/>
        <c:minorTickMark val="none"/>
        <c:tickLblPos val="nextTo"/>
        <c:crossAx val="220005504"/>
        <c:crosses val="autoZero"/>
        <c:auto val="1"/>
        <c:lblAlgn val="ctr"/>
        <c:lblOffset val="100"/>
        <c:noMultiLvlLbl val="0"/>
      </c:catAx>
      <c:valAx>
        <c:axId val="220005504"/>
        <c:scaling>
          <c:orientation val="minMax"/>
        </c:scaling>
        <c:delete val="0"/>
        <c:axPos val="l"/>
        <c:numFmt formatCode="0.0" sourceLinked="1"/>
        <c:majorTickMark val="out"/>
        <c:minorTickMark val="none"/>
        <c:tickLblPos val="nextTo"/>
        <c:crossAx val="219950080"/>
        <c:crosses val="autoZero"/>
        <c:crossBetween val="between"/>
        <c:majorUnit val="5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takvim!$B$9:$E$9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takvim!$B$10:$E$10</c:f>
              <c:numCache>
                <c:formatCode>0.0</c:formatCode>
                <c:ptCount val="4"/>
                <c:pt idx="0">
                  <c:v>84.859175348233094</c:v>
                </c:pt>
                <c:pt idx="1">
                  <c:v>91.867109585605206</c:v>
                </c:pt>
                <c:pt idx="2">
                  <c:v>94.893627054429899</c:v>
                </c:pt>
                <c:pt idx="3">
                  <c:v>106.259962895382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0054656"/>
        <c:axId val="220072192"/>
      </c:lineChart>
      <c:catAx>
        <c:axId val="220054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20072192"/>
        <c:crosses val="autoZero"/>
        <c:auto val="1"/>
        <c:lblAlgn val="ctr"/>
        <c:lblOffset val="100"/>
        <c:noMultiLvlLbl val="0"/>
      </c:catAx>
      <c:valAx>
        <c:axId val="220072192"/>
        <c:scaling>
          <c:orientation val="minMax"/>
        </c:scaling>
        <c:delete val="0"/>
        <c:axPos val="l"/>
        <c:numFmt formatCode="0.0" sourceLinked="1"/>
        <c:majorTickMark val="out"/>
        <c:minorTickMark val="none"/>
        <c:tickLblPos val="nextTo"/>
        <c:crossAx val="220054656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txPr>
    <a:bodyPr/>
    <a:lstStyle/>
    <a:p>
      <a:pPr>
        <a:defRPr b="1"/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6AC036-8F07-4581-9DBA-FAFF904A2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3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AsusN20</cp:lastModifiedBy>
  <cp:revision>41</cp:revision>
  <cp:lastPrinted>2018-03-16T13:43:00Z</cp:lastPrinted>
  <dcterms:created xsi:type="dcterms:W3CDTF">2017-11-09T10:37:00Z</dcterms:created>
  <dcterms:modified xsi:type="dcterms:W3CDTF">2018-03-16T14:09:00Z</dcterms:modified>
</cp:coreProperties>
</file>